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none"/>
        </w:rPr>
        <w:t>TERMO DE REFERÊNCIA – LEI 14.133/21 de 01 de abril de 2021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AQUISIÇÃO </w:t>
      </w:r>
      <w:r>
        <w:rPr>
          <w:rFonts w:ascii="Verdana" w:hAnsi="Verdana"/>
          <w:b/>
          <w:bCs/>
          <w:iCs/>
          <w:color w:val="000000"/>
          <w:sz w:val="20"/>
          <w:szCs w:val="20"/>
          <w:u w:val="none"/>
        </w:rPr>
        <w:t>DE APARELHO CELULAR PARA SUPRIR A DEMANDA DA SECRETARIA MUNICIPAL DE ASSISTÊNCIA SOCIAL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001673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/2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026 de 06 de março de 2026 (SECRETARIA MUNICIPAL DE ASSISTÊNCIA, DESENVOLVIMENTO SOCIAL E FAMÍLIA)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i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keepNext w:val="true"/>
        <w:keepLines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1. DAS CONDIÇÕES GERAIS DA CONTRATAÇÃO </w:t>
      </w:r>
    </w:p>
    <w:p>
      <w:pPr>
        <w:pStyle w:val="Nivel1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1.1. Aquisição de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</w:rPr>
        <w:t xml:space="preserve"> aparelhos de telefone celular para suprir as necessidades de comunicação da Secretaria Municipal de Assistência, Desenvolvimento Social e Família e dos equipamentos socioassistenciais, </w:t>
      </w:r>
      <w:r>
        <w:rPr>
          <w:rFonts w:ascii="Verdana" w:hAnsi="Verdana"/>
          <w:b w:val="false"/>
          <w:bCs w:val="false"/>
          <w:iCs/>
          <w:sz w:val="20"/>
          <w:szCs w:val="20"/>
        </w:rPr>
        <w:t>nos termos da tabela abaixo, conforme condições e exigências estabelecidas neste instrumento e no ETP.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b w:val="false"/>
          <w:bCs w:val="false"/>
          <w:iCs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</w:r>
    </w:p>
    <w:tbl>
      <w:tblPr>
        <w:tblW w:w="10033" w:type="dxa"/>
        <w:jc w:val="left"/>
        <w:tblInd w:w="-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3171"/>
        <w:gridCol w:w="1407"/>
        <w:gridCol w:w="1203"/>
        <w:gridCol w:w="1656"/>
        <w:gridCol w:w="1746"/>
      </w:tblGrid>
      <w:tr>
        <w:trPr>
          <w:trHeight w:val="450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>
              <w:rPr>
                <w:rFonts w:cs="Arial" w:ascii="Verdana" w:hAnsi="Verdana"/>
                <w:b/>
                <w:sz w:val="20"/>
                <w:szCs w:val="20"/>
                <w:u w:val="single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QUANT.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SMARTPHONE</w:t>
            </w:r>
          </w:p>
          <w:p>
            <w:pPr>
              <w:pStyle w:val="TableParagraph"/>
              <w:spacing w:lineRule="auto" w:line="240"/>
              <w:ind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tecnologia quad band, dual sim, memória interna de no mínimo 256gb, e no mínimo 8gb de memória ram, processador no mínimo octa core, bateria de no mínimo 5.000 mah, câmera princinpal de no mínimo 50mp e fontal de 12mp, display com visor colorido de no mínimo 6 polegadas super amoled; devera conter as conexoes: bluetooth, wi-fi e usb. Acessorios:manual de instruções em português; carregador com fonte de alimentação bivolt 45w. Garantia mínima de 12 meses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i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R$ 1.270,00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R$ 6.350,00</w:t>
            </w:r>
          </w:p>
        </w:tc>
      </w:tr>
      <w:tr>
        <w:trPr/>
        <w:tc>
          <w:tcPr>
            <w:tcW w:w="1003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Total: R$ 6.350,00 (seis mil trezentos e cinquenta reais)</w:t>
            </w:r>
          </w:p>
        </w:tc>
      </w:tr>
    </w:tbl>
    <w:p>
      <w:pPr>
        <w:pStyle w:val="ListParagraph"/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>
      <w:pPr>
        <w:pStyle w:val="ListParagraph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</w:t>
      </w:r>
      <w:r>
        <w:rPr>
          <w:rFonts w:ascii="Verdana" w:hAnsi="Verdana"/>
          <w:iCs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prazo de vigência da aquisição será de 30 (trinta) dia, com a entrega em 20 (vinte) dias, após a emissão da autorização de fornecimento pelo Departamento de Compras e Contratos.</w:t>
      </w:r>
    </w:p>
    <w:p>
      <w:pPr>
        <w:pStyle w:val="ListParagraph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1.4.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O objeto da contratação será composto por 01 item, de preço total estimado orçado pela administração no valor</w:t>
      </w: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  <w:lang w:eastAsia="en-US"/>
        </w:rPr>
        <w:t xml:space="preserve">R$ 6.350,00 (seis mil trezentos e cinquenta reais).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Para fins de classificação, será considerado o menor preço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. Compete à administração buscar o menor dispêndio possível de recursos, assegurando a qualidade da prestação dos serviços/aquisição de itens,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/>
        <w:rPr>
          <w:rFonts w:ascii="Verdana" w:hAnsi="Verdana" w:cs="Arial"/>
          <w:b w:val="false"/>
          <w:bCs w:val="false"/>
          <w:i w:val="false"/>
          <w:i w:val="false"/>
          <w:iCs w:val="false"/>
          <w:sz w:val="20"/>
          <w:szCs w:val="20"/>
          <w:u w:val="single"/>
        </w:rPr>
      </w:pP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2. FUNDAMENTAÇÃO E DESCRIÇÃO DA NECESSIDADE DA CONTRATAÇÃO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2.1. </w:t>
      </w:r>
      <w:r>
        <w:rPr>
          <w:rFonts w:eastAsia="Calibri" w:cs="Calibri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Considerando que a Secretaria de Assistência Social atua no atendimento da Política Nacional de Assistência Social para minimizar os riscos inerentes a vulnerabilidade social de famílias e indivíduos</w:t>
      </w:r>
      <w:r>
        <w:rPr>
          <w:rFonts w:ascii="Verdana" w:hAnsi="Verdana"/>
          <w:b w:val="false"/>
          <w:bCs w:val="false"/>
          <w:sz w:val="20"/>
          <w:szCs w:val="20"/>
        </w:rPr>
        <w:t>;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2.2. Considerando que, atualmente, todos os registro de ligações e contatos da Secretaria e os equipamentos socioassistenciais são realizados por celular visto a inexistência de telefonia fixa.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2.3.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Considerando o memorando nº 006/2025 – CRAS que solicita a compra de 02 aparelhos de smartphone para aquele local diante da demanda existente.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2.4.</w:t>
      </w:r>
      <w:r>
        <w:rPr>
          <w:rFonts w:ascii="Verdana" w:hAnsi="Verdana"/>
          <w:b w:val="false"/>
          <w:bCs w:val="false"/>
          <w:color w:val="auto"/>
          <w:sz w:val="20"/>
          <w:szCs w:val="20"/>
        </w:rPr>
        <w:t xml:space="preserve"> Considerando a que a Secretaria também apresenta demanda de aparelhos de smartphone, haja vista que os atuais já se encontram em estado avançado de deterioração.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b w:val="false"/>
          <w:bCs w:val="false"/>
          <w:color w:val="auto"/>
          <w:sz w:val="20"/>
          <w:szCs w:val="20"/>
        </w:rPr>
      </w:pPr>
      <w:r>
        <w:rPr>
          <w:rFonts w:ascii="Verdana" w:hAnsi="Verdana"/>
          <w:b w:val="false"/>
          <w:bCs w:val="false"/>
          <w:color w:val="auto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3. DESCRIÇÃO DA SOLUÇÃO COMO UM TODO CONSIDERADO O CICLO DE VIDA DO OBJETO E ESPECIFICAÇÃO DO PRODUTO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 A solução a ser adotada consiste 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aquisição de aparelhos de smartphone para atender as demandas da Secretaria de Assistência Social e seus equipamentos.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3.2.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8"/>
        <w:gridCol w:w="9045"/>
      </w:tblGrid>
      <w:tr>
        <w:trPr/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0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 dos produtos dentro na data estabelecida;</w:t>
            </w:r>
          </w:p>
        </w:tc>
      </w:tr>
      <w:tr>
        <w:trPr/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0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Fornecer itens de qualidade, dentro das especificações solicitadas;</w:t>
            </w:r>
          </w:p>
        </w:tc>
      </w:tr>
      <w:tr>
        <w:trPr/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0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Adequar-se às exigências do edital de dispensa de licitação;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3.3.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>contratação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4. REQUISITOS DA CONTRATAÇÃO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 xml:space="preserve">4.1. 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 xml:space="preserve">a)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Se submeter às regras do edital de licitação ou dispensa de licitação, apresentando toda a documentação exigida pelo órgão público competente;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b) Estar em dia com as obrigações fiscais da empresa;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c) Os produtos disponibilizados precisam atender aos padrões de qualidade exigidos pela legislação vigente e de acordo com os padrões da ANATEL e com versão mais recente de software;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>d) A empresa fornecedora deve seguir práticas sustentáveis, como a reciclagem das embalagens, contribuindo para a preservação do meio ambiente.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 xml:space="preserve">e)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Entregar os produtos com </w:t>
      </w:r>
      <w:r>
        <w:rPr>
          <w:rFonts w:eastAsia="Arial" w:cs="Arial" w:ascii="Verdana" w:hAnsi="Verdana"/>
          <w:b w:val="false"/>
          <w:bCs w:val="false"/>
          <w:sz w:val="20"/>
          <w:szCs w:val="20"/>
          <w:u w:val="none"/>
          <w:shd w:fill="auto" w:val="clear"/>
        </w:rPr>
        <w:t xml:space="preserve">qualidade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preservada, sem danos ou avarias que comprometam seu funcionamento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4.2.1.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4.2.2. Registro da pessoa jurídica (CONTRATADA) nos órgãos competentes e Conselho Regional da classe, se for o caso.</w:t>
      </w:r>
    </w:p>
    <w:p>
      <w:pPr>
        <w:pStyle w:val="Normal"/>
        <w:bidi w:val="0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4.3. GARANTIA</w:t>
      </w:r>
    </w:p>
    <w:p>
      <w:pPr>
        <w:pStyle w:val="Normal"/>
        <w:bidi w:val="0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4.3.1. O prazo de garantia é aquele estabelecido na Lei n. 8.078, de 11 de setembro de 1990 (Código de Defesa do Consumidor), sendo 3 (três) meses de garantia legal (art. 26 do CDC) e 9 (nove) meses de garantia contratual (art. 50 do CDC), ou de acordo com as normas do fabricante, prevalecendo o maior prazo, contado a partir do primeiro dia útil subsequente ao recebimento definitivo do objeto, sem prejuízo de outra garantia complementar fornecida pelo licitante/fabricante em sua proposta comercia</w:t>
      </w:r>
      <w:r>
        <w:rPr>
          <w:rFonts w:eastAsia="Arial" w:cs="Arial" w:ascii="Verdana" w:hAnsi="Verdana"/>
          <w:sz w:val="20"/>
          <w:szCs w:val="20"/>
        </w:rPr>
        <w:t>l.</w:t>
      </w:r>
    </w:p>
    <w:p>
      <w:pPr>
        <w:pStyle w:val="Normal"/>
        <w:bidi w:val="0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5. MODELO DE EXECUÇÃO CONTRATUAL 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lineRule="auto" w:line="240"/>
        <w:ind w:firstLine="57" w:left="-57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>5.1.</w:t>
      </w:r>
      <w:r>
        <w:rPr>
          <w:rFonts w:cs="Times New Roman" w:ascii="Verdana" w:hAnsi="Verdana"/>
          <w:bCs/>
          <w:iCs/>
          <w:sz w:val="20"/>
          <w:szCs w:val="20"/>
        </w:rPr>
        <w:t xml:space="preserve"> O prazo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>de entrega do objeto</w:t>
      </w:r>
      <w:r>
        <w:rPr>
          <w:rFonts w:cs="Times New Roman" w:ascii="Verdana" w:hAnsi="Verdana"/>
          <w:bCs/>
          <w:iCs/>
          <w:sz w:val="20"/>
          <w:szCs w:val="20"/>
        </w:rPr>
        <w:t xml:space="preserve"> será estipulado em </w:t>
      </w:r>
      <w:r>
        <w:rPr>
          <w:rFonts w:cs="Arial" w:ascii="Verdana" w:hAnsi="Verdana"/>
          <w:b w:val="false"/>
          <w:bCs w:val="false"/>
          <w:iCs/>
          <w:sz w:val="20"/>
          <w:szCs w:val="20"/>
        </w:rPr>
        <w:t xml:space="preserve">por meio de entrega única </w:t>
      </w:r>
      <w:r>
        <w:rPr>
          <w:rFonts w:eastAsia="Times New Roman" w:cs="Arial" w:ascii="Verdana" w:hAnsi="Verdana"/>
          <w:b w:val="false"/>
          <w:bCs w:val="false"/>
          <w:iCs/>
          <w:color w:val="auto"/>
          <w:kern w:val="0"/>
          <w:sz w:val="20"/>
          <w:szCs w:val="20"/>
          <w:lang w:val="pt-BR" w:eastAsia="zh-CN" w:bidi="ar-SA"/>
        </w:rPr>
        <w:t>do</w:t>
      </w:r>
      <w:r>
        <w:rPr>
          <w:rFonts w:cs="Arial" w:ascii="Verdana" w:hAnsi="Verdana"/>
          <w:b w:val="false"/>
          <w:bCs w:val="false"/>
          <w:iCs/>
          <w:sz w:val="20"/>
          <w:szCs w:val="20"/>
        </w:rPr>
        <w:t xml:space="preserve"> item, sendo necessária a emissão de autorização de fornecimento </w:t>
      </w:r>
      <w:r>
        <w:rPr>
          <w:rFonts w:eastAsia="Times New Roman" w:cs="Arial" w:ascii="Verdana" w:hAnsi="Verdana"/>
          <w:b w:val="false"/>
          <w:bCs w:val="false"/>
          <w:iCs/>
          <w:color w:val="auto"/>
          <w:kern w:val="0"/>
          <w:sz w:val="20"/>
          <w:szCs w:val="20"/>
          <w:lang w:val="pt-BR" w:eastAsia="zh-CN" w:bidi="ar-SA"/>
        </w:rPr>
        <w:t>dos itens concedendo o prazo de até 20 (vinte) dias corridos para a entrega, dispensada a formalização de contrato, sendo este substituído pela emissão da nota de empenho</w:t>
      </w:r>
      <w:r>
        <w:rPr>
          <w:rFonts w:eastAsia="Times New Roman" w:cs="Times New Roman" w:ascii="Verdana" w:hAnsi="Verdana"/>
          <w:b w:val="false"/>
          <w:bCs/>
          <w:iCs/>
          <w:color w:val="auto"/>
          <w:kern w:val="0"/>
          <w:sz w:val="20"/>
          <w:szCs w:val="20"/>
          <w:lang w:val="pt-BR" w:eastAsia="zh-CN" w:bidi="ar-SA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5.2.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sz w:val="20"/>
          <w:szCs w:val="20"/>
        </w:rPr>
        <w:t>O objeto</w:t>
      </w:r>
      <w:r>
        <w:rPr>
          <w:rFonts w:ascii="Verdana" w:hAnsi="Verdana"/>
          <w:sz w:val="20"/>
          <w:szCs w:val="20"/>
        </w:rPr>
        <w:t xml:space="preserve"> deverá ser entregue no seguinte endereço: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- Departamento de Almoxarifado Central</w:t>
      </w:r>
      <w:r>
        <w:rPr>
          <w:rFonts w:ascii="Verdana" w:hAnsi="Verdana"/>
          <w:sz w:val="20"/>
          <w:szCs w:val="20"/>
        </w:rPr>
        <w:t xml:space="preserve"> da Prefeitura Municipal de São Gabriel da Palha.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- Praça Vicente Glazar, 159, Bairro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Glória.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- São Gabriel da Palha – ES, Cep 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- Telefone de contato: (27) ) </w:t>
      </w:r>
      <w:r>
        <w:rPr>
          <w:rFonts w:eastAsia="Times New Roman" w:cs="Times New Roman" w:ascii="Verdana" w:hAnsi="Verdana"/>
          <w:sz w:val="20"/>
          <w:szCs w:val="20"/>
        </w:rPr>
        <w:t>99975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-6571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2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- E-mail: assistenciassgp@gmail.com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 xml:space="preserve"> </w:t>
      </w: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>- Responsável: Secretaria Municipal de Assistência, Desenvolvimento Social e Família.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5.3</w:t>
      </w:r>
      <w:r>
        <w:rPr>
          <w:rFonts w:cs="Times New Roman" w:ascii="Verdana" w:hAnsi="Verdana"/>
          <w:b/>
          <w:bCs/>
          <w:iCs/>
          <w:color w:val="auto"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color w:val="auto"/>
          <w:sz w:val="20"/>
          <w:szCs w:val="20"/>
        </w:rPr>
        <w:t>força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 maior.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5.4.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5.5.</w:t>
      </w:r>
      <w:r>
        <w:rPr>
          <w:rFonts w:ascii="Verdana" w:hAnsi="Verdana"/>
          <w:sz w:val="20"/>
          <w:szCs w:val="20"/>
        </w:rPr>
        <w:t xml:space="preserve"> A conferência </w:t>
      </w:r>
      <w:r>
        <w:rPr>
          <w:rFonts w:eastAsia="Times New Roman" w:cs="Times New Roman" w:ascii="Verdana" w:hAnsi="Verdana"/>
          <w:sz w:val="20"/>
          <w:szCs w:val="20"/>
        </w:rPr>
        <w:t>dos itens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5.6.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0"/>
          <w:szCs w:val="20"/>
        </w:rPr>
        <w:t>da contratada pelos prejuízos resultantes da incorreta execução do contrato.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 w:cs="Times New Roman"/>
          <w:b w:val="false"/>
          <w:bCs w:val="false"/>
          <w:iCs/>
          <w:color w:val="auto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6. MODELO DE GESTÃO DO CONTRATO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6.1. ROTINAS DE FISCALIZAÇÃO CONTRATUAL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6.1.1. </w:t>
      </w:r>
      <w:r>
        <w:rPr>
          <w:rFonts w:cs="Times New Roman" w:ascii="Verdana" w:hAnsi="Verdana"/>
          <w:sz w:val="20"/>
          <w:szCs w:val="20"/>
        </w:rPr>
        <w:t>O contrato será substituído pela nota de empenho e autorização de fornecimento/execução.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6.1.2.</w:t>
      </w:r>
      <w:r>
        <w:rPr>
          <w:rFonts w:ascii="Verdana" w:hAnsi="Verdana"/>
          <w:sz w:val="20"/>
          <w:szCs w:val="20"/>
        </w:rPr>
        <w:t xml:space="preserve"> A entrega </w:t>
      </w:r>
      <w:r>
        <w:rPr>
          <w:rFonts w:eastAsia="Times New Roman" w:cs="Times New Roman" w:ascii="Verdana" w:hAnsi="Verdana"/>
          <w:sz w:val="20"/>
          <w:szCs w:val="20"/>
        </w:rPr>
        <w:t>do item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6.1.3.</w:t>
      </w:r>
      <w:r>
        <w:rPr>
          <w:rFonts w:ascii="Verdana" w:hAnsi="Verdana"/>
          <w:sz w:val="20"/>
          <w:szCs w:val="20"/>
        </w:rPr>
        <w:t xml:space="preserve">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6.1.4.</w:t>
      </w:r>
      <w:r>
        <w:rPr>
          <w:rFonts w:ascii="Verdana" w:hAnsi="Verdana"/>
          <w:sz w:val="20"/>
          <w:szCs w:val="20"/>
        </w:rPr>
        <w:t xml:space="preserve"> Somente o contratado será responsável pelos encargos trabalhistas, previdenciários, fiscais e comerciais resultantes da execução dos serviços.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6.1.5.</w:t>
      </w:r>
      <w:r>
        <w:rPr>
          <w:rFonts w:ascii="Verdana" w:hAnsi="Verdana"/>
          <w:sz w:val="20"/>
          <w:szCs w:val="20"/>
        </w:rPr>
        <w:t xml:space="preserve">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6.1.6.</w:t>
      </w:r>
      <w:r>
        <w:rPr>
          <w:rFonts w:cs="Times New Roman" w:ascii="Verdana" w:hAnsi="Verdana"/>
          <w:sz w:val="20"/>
          <w:szCs w:val="20"/>
        </w:rPr>
        <w:t xml:space="preserve">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Nivel2"/>
        <w:spacing w:lineRule="auto" w:line="240"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>
        <w:rPr>
          <w:rFonts w:cs="Times New Roman" w:ascii="Verdana" w:hAnsi="Verdana"/>
          <w:iCs/>
          <w:color w:val="auto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iCs/>
          <w:color w:val="auto"/>
          <w:sz w:val="20"/>
          <w:szCs w:val="20"/>
        </w:rPr>
        <w:t xml:space="preserve">7. FORMA E CRITÉRIOS DE SELEÇÃO DO FORNECEDOR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7.1.</w:t>
      </w:r>
      <w:r>
        <w:rPr>
          <w:rFonts w:ascii="Verdana" w:hAnsi="Verdana"/>
          <w:sz w:val="20"/>
          <w:szCs w:val="20"/>
        </w:rPr>
        <w:t xml:space="preserve"> O fornecedor será selecionado por meio da realização de procedimento de dispensa de licitação, com fundamento na hipótese do art. 75, inciso II, da Lei n.º 14.133/2021 </w:t>
      </w:r>
      <w:r>
        <w:rPr>
          <w:rFonts w:ascii="Verdana" w:hAnsi="Verdana"/>
          <w:iCs/>
          <w:sz w:val="20"/>
          <w:szCs w:val="20"/>
        </w:rPr>
        <w:t xml:space="preserve">que culminará com a seleção da proposta </w:t>
      </w:r>
      <w:r>
        <w:rPr>
          <w:rFonts w:ascii="Verdana" w:hAnsi="Verdana"/>
          <w:iCs/>
          <w:sz w:val="20"/>
          <w:szCs w:val="20"/>
          <w:shd w:fill="auto" w:val="clear"/>
        </w:rPr>
        <w:t>de menor preço por item.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8. DAS SANÇÕES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8.1.1. Dar causa à inexecução parcial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8.1.3. Dar causa à inexecução total;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8.1.4. Deixar de entregar a documentação exigida para o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8.1.5. Não manter a proposta, salvo em decorrência de fato superveniente devidamente justificado.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8.1.6.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8.1.7. Ensejar o retardamento da execução ou da entrega do objeto sem motivo justificado,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8.1.8. Apresentar declaração ou documentação falsa exigida para o certame ou prestar declaração falsa durante a dispensa/licitação eletrônica ou 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8.1.9. Fraudar a dispensa/licitação eletrônica ou praticar ato fraudulento na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8.1.10. Comportar-se de modo inidôneo ou cometer fraude de qualquer natureza.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8.1.11. Praticar atos ilícitos com vistas a frustrar os objetivos deste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8.1.12. Praticar ato lesivo previsto no art. 5º da Lei nº 12.846, de 1º de agosto de 2013.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a) Advertência pela falta do subitem 8.1.1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b.1) O valor da multa poderá ser descontado das faturas devidas à CONTRATADA;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 Na aplicação das sanções serão considerados: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8.3.1. A natureza e a gravidade da infração cometida.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8.3.2. As peculiaridades do caso concreto.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8.3.3. As circunstâncias agravantes ou atenuantes.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8.3.4. Os danos que dela provierem para a Administração Pública.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9. CRITÉRIOS DE PAGAMENTO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9.1</w:t>
      </w:r>
      <w:r>
        <w:rPr>
          <w:rFonts w:ascii="Verdana" w:hAnsi="Verdana"/>
          <w:b/>
          <w:bCs/>
          <w:sz w:val="20"/>
          <w:szCs w:val="20"/>
          <w:lang w:eastAsia="en-US"/>
        </w:rPr>
        <w:t>.</w:t>
      </w:r>
      <w:r>
        <w:rPr>
          <w:rFonts w:ascii="Verdana" w:hAnsi="Verdana"/>
          <w:sz w:val="20"/>
          <w:szCs w:val="20"/>
          <w:lang w:eastAsia="en-US"/>
        </w:rPr>
        <w:t xml:space="preserve"> Recebida a Nota Fiscal ou documento de cobrança equivalente, correrá o prazo de </w:t>
      </w:r>
      <w:r>
        <w:rPr>
          <w:rFonts w:eastAsia="Times New Roman" w:cs="Times New Roman" w:ascii="Verdana" w:hAnsi="Verdana"/>
          <w:sz w:val="20"/>
          <w:szCs w:val="20"/>
          <w:lang w:eastAsia="en-US"/>
        </w:rPr>
        <w:t>(30) trinta</w:t>
      </w:r>
      <w:r>
        <w:rPr>
          <w:rFonts w:ascii="Verdana" w:hAnsi="Verdana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9.2.</w:t>
      </w:r>
      <w:r>
        <w:rPr>
          <w:rFonts w:ascii="Verdana" w:hAnsi="Verdana"/>
          <w:sz w:val="20"/>
          <w:szCs w:val="20"/>
        </w:rPr>
        <w:t xml:space="preserve">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9"/>
          <w:sz w:val="20"/>
          <w:u w:val="none"/>
          <w:szCs w:val="20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9"/>
          <w:sz w:val="20"/>
          <w:u w:val="none"/>
          <w:szCs w:val="20"/>
          <w:rFonts w:ascii="Verdana" w:hAnsi="Verdana"/>
          <w:color w:val="000000"/>
        </w:rPr>
        <w:fldChar w:fldCharType="separate"/>
      </w:r>
      <w:r>
        <w:rPr>
          <w:rStyle w:val="ListLabel19"/>
          <w:rFonts w:ascii="Verdana" w:hAnsi="Verdana"/>
          <w:color w:val="000000"/>
          <w:sz w:val="20"/>
          <w:szCs w:val="20"/>
          <w:u w:val="none"/>
        </w:rPr>
        <w:t xml:space="preserve">inciso II do art. 75 da Lei nº 14.133, de </w:t>
      </w:r>
      <w:r>
        <w:rPr>
          <w:rStyle w:val="ListLabel19"/>
          <w:sz w:val="20"/>
          <w:u w:val="none"/>
          <w:szCs w:val="20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2021.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9.3. </w:t>
      </w:r>
      <w:r>
        <w:rPr>
          <w:rFonts w:ascii="Verdana" w:hAnsi="Verdana"/>
          <w:sz w:val="20"/>
          <w:szCs w:val="20"/>
        </w:rPr>
        <w:t xml:space="preserve">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9.4. Havendo erro na apresentação da nota fiscal ou instrumento de cobrança equ</w:t>
      </w:r>
      <w:r>
        <w:rPr>
          <w:rFonts w:ascii="Verdana" w:hAnsi="Verdana"/>
          <w:sz w:val="20"/>
          <w:szCs w:val="20"/>
        </w:rPr>
        <w:t>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9.5.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  <w:lang w:eastAsia="en-US"/>
        </w:rPr>
        <w:t xml:space="preserve"> nota fiscal ou instrumento de cobrança equivalente deverá ser obrigatoriamente 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9.6. </w:t>
      </w:r>
      <w:r>
        <w:rPr>
          <w:rFonts w:ascii="Verdana" w:hAnsi="Verdana"/>
          <w:sz w:val="20"/>
          <w:szCs w:val="20"/>
        </w:rPr>
        <w:t>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9.8.</w:t>
      </w:r>
      <w:r>
        <w:rPr>
          <w:rFonts w:ascii="Verdana" w:hAnsi="Verdana"/>
          <w:sz w:val="20"/>
          <w:szCs w:val="20"/>
        </w:rPr>
        <w:t xml:space="preserve"> Será considerada data do pagamento o dia em que constar como emitida a ordem </w:t>
      </w:r>
      <w:r>
        <w:rPr>
          <w:rFonts w:ascii="Verdana" w:hAnsi="Verdana"/>
          <w:b w:val="false"/>
          <w:bCs w:val="false"/>
          <w:sz w:val="20"/>
          <w:szCs w:val="20"/>
        </w:rPr>
        <w:t>bancária para pagamento.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</w:rPr>
        <w:t>9.9.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Quando do pagamento, será efetuada a retenção tributária prevista na legislação aplicável.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9.10.</w:t>
      </w:r>
      <w:r>
        <w:rPr>
          <w:rFonts w:ascii="Verdana" w:hAnsi="Verdana"/>
          <w:sz w:val="20"/>
          <w:szCs w:val="20"/>
          <w:lang w:eastAsia="en-US"/>
        </w:rPr>
        <w:t xml:space="preserve"> O contratado regularmente optante pelo Simples Nacional, nos termos da </w:t>
      </w:r>
      <w:hyperlink r:id="rId2">
        <w:r>
          <w:rPr>
            <w:rStyle w:val="ListLabel20"/>
            <w:rFonts w:ascii="Verdana" w:hAnsi="Verdana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10.1. Os resultados pretendidos com a contratação tem como finalidade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garantir o acesso a telefonia móvel a fim de solucionar demandas e contatos internos, de fornecedores e de parceiros e estabelecer comunicação entre servidores e usuários da Política de Assistência Social.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11.1</w:t>
      </w: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12.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12.1.</w:t>
      </w: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13.2.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 xml:space="preserve">Considerando a necessidade de aquisição dos produtos decidiu-se pela contratação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dispensa</w:t>
      </w:r>
      <w:r>
        <w:rPr>
          <w:rFonts w:cs="Arial" w:ascii="Verdana" w:hAnsi="Verdana"/>
          <w:sz w:val="20"/>
          <w:szCs w:val="20"/>
          <w:shd w:fill="auto" w:val="clear"/>
        </w:rPr>
        <w:t xml:space="preserve"> de licitação.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14.1.</w:t>
      </w:r>
      <w:r>
        <w:rPr>
          <w:rFonts w:cs="Arial" w:ascii="Verdana" w:hAnsi="Verdana"/>
          <w:b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</w:t>
      </w:r>
      <w:r>
        <w:rPr>
          <w:rFonts w:cs="Arial" w:ascii="Verdana" w:hAnsi="Verdana"/>
          <w:b w:val="false"/>
          <w:bCs w:val="false"/>
          <w:sz w:val="20"/>
          <w:szCs w:val="20"/>
        </w:rPr>
        <w:t>e conferência das especificações contidas no processo.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ivel1"/>
        <w:spacing w:lineRule="auto" w:line="240" w:before="0" w:after="0"/>
        <w:ind w:hanging="0" w:left="57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15. ADEQUAÇÃO ORÇAMENTÁRIA </w:t>
      </w:r>
    </w:p>
    <w:p>
      <w:pPr>
        <w:pStyle w:val="ListParagraph"/>
        <w:spacing w:lineRule="auto" w:line="240"/>
        <w:ind w:hanging="0" w:left="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15.1. </w:t>
      </w:r>
      <w:r>
        <w:rPr>
          <w:rFonts w:ascii="Verdana" w:hAnsi="Verdana"/>
          <w:sz w:val="20"/>
          <w:szCs w:val="20"/>
        </w:rPr>
        <w:t>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ListParagraph"/>
        <w:spacing w:lineRule="auto" w:line="240"/>
        <w:ind w:hanging="0" w:left="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</w:t>
      </w:r>
      <w:r>
        <w:rPr>
          <w:rFonts w:eastAsia="Times New Roman" w:cs="Times New Roman" w:ascii="Verdana" w:hAnsi="Verdana"/>
          <w:sz w:val="20"/>
          <w:szCs w:val="20"/>
        </w:rPr>
        <w:t>0427 – 166000009999 - no valor de R$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u w:val="none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2.540,00 (dois mil quinhentos e quarenta reais)</w:t>
      </w:r>
    </w:p>
    <w:p>
      <w:pPr>
        <w:pStyle w:val="Normal"/>
        <w:spacing w:lineRule="auto" w:line="240"/>
        <w:ind w:hanging="0" w:left="720"/>
        <w:jc w:val="both"/>
        <w:rPr>
          <w:rFonts w:ascii="Verdana" w:hAnsi="Verdana" w:eastAsia="Times New Roman" w:cs="Arial"/>
          <w:b w:val="false"/>
          <w:bCs w:val="false"/>
          <w:sz w:val="20"/>
          <w:szCs w:val="20"/>
          <w:u w:val="none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FICHA - FONTE: 00413-150000000000 – no valor de R$ 3.810,00 (tres mil oitocentos e dez reais)</w:t>
      </w:r>
    </w:p>
    <w:p>
      <w:pPr>
        <w:pStyle w:val="Normal"/>
        <w:numPr>
          <w:ilvl w:val="0"/>
          <w:numId w:val="0"/>
        </w:numPr>
        <w:spacing w:lineRule="auto" w:line="240"/>
        <w:ind w:hanging="0"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Totalizando o valor de R$ 6.350,00 (seis mil trezentos e cinquenta reais).</w:t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16. DOS RESPONSÁVEIS PELA ELABORAÇÃO DO TERMO DE REFERÊNCIA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16.1.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DFD – Documento Formalizador de Demanda e ETP – Estudo Técnico Preliminar elaborados pela secretaria requisitante e anexo nos autos.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30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 de março de 2026</w:t>
      </w:r>
    </w:p>
    <w:p>
      <w:pPr>
        <w:pStyle w:val="Normal"/>
        <w:spacing w:lineRule="auto" w:line="24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Start w:id="8" w:name="art122%252525252525252525252525252525251"/>
      <w:bookmarkStart w:id="9" w:name="art122%252525252525252525252525252525253"/>
      <w:bookmarkStart w:id="10" w:name="art122%252525252525252525252525252525254"/>
      <w:bookmarkStart w:id="11" w:name="art122%252525252525252525252525252525255"/>
      <w:bookmarkStart w:id="12" w:name="art122%252525252525252525252525252525256"/>
      <w:bookmarkStart w:id="13" w:name="art122%252525252525252525252525252525257"/>
      <w:bookmarkEnd w:id="8"/>
      <w:bookmarkEnd w:id="9"/>
      <w:bookmarkEnd w:id="10"/>
      <w:bookmarkEnd w:id="11"/>
      <w:bookmarkEnd w:id="12"/>
      <w:bookmarkEnd w:id="13"/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Characters">
    <w:name w:val="Footnote Characters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>
    <w:name w:val="apple-style-span"/>
    <w:qFormat/>
    <w:rPr/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Nivel01Char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Nivel01Char1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>
    <w:name w:val="apple-converted-space"/>
    <w:qFormat/>
    <w:rPr/>
  </w:style>
  <w:style w:type="character" w:styleId="scayt-misspell-word">
    <w:name w:val="scayt-misspell-word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360" w:before="240" w:after="240"/>
      <w:jc w:val="both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Ttulo3">
    <w:name w:val="Título3"/>
    <w:basedOn w:val="Normal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/>
      <w:color w:val="00000A"/>
      <w:sz w:val="28"/>
      <w:szCs w:val="28"/>
    </w:rPr>
  </w:style>
  <w:style w:type="paragraph" w:styleId="Ttulo2">
    <w:name w:val="Título2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Arial Unicode MS"/>
      <w:sz w:val="28"/>
      <w:szCs w:val="28"/>
    </w:rPr>
  </w:style>
  <w:style w:type="paragraph" w:styleId="Legenda1">
    <w:name w:val="Legenda1"/>
    <w:basedOn w:val="Normal"/>
    <w:qFormat/>
    <w:pPr>
      <w:spacing w:before="120" w:after="120"/>
    </w:pPr>
    <w:rPr>
      <w:i/>
      <w:iCs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qFormat/>
    <w:pPr>
      <w:widowControl/>
      <w:suppressAutoHyphens w:val="true"/>
      <w:bidi w:val="0"/>
      <w:spacing w:before="280" w:after="280"/>
      <w:jc w:val="left"/>
    </w:pPr>
    <w:rPr>
      <w:rFonts w:ascii="IPMDOI+TimesNewRoman" w:hAnsi="IPMDOI+TimesNewRoman" w:eastAsia="Arial" w:cs="IPMDOI+TimesNewRoman"/>
      <w:color w:val="auto"/>
      <w:kern w:val="0"/>
      <w:sz w:val="22"/>
      <w:szCs w:val="22"/>
      <w:lang w:val="pt-BR" w:eastAsia="en-US" w:bidi="ar-SA"/>
    </w:rPr>
  </w:style>
  <w:style w:type="paragraph" w:styleId="WW-Padro">
    <w:name w:val="WW-Padrão"/>
    <w:qFormat/>
    <w:pPr>
      <w:widowControl/>
      <w:suppressAutoHyphens w:val="true"/>
      <w:bidi w:val="0"/>
      <w:spacing w:before="0" w:after="0"/>
      <w:jc w:val="left"/>
    </w:pPr>
    <w:rPr>
      <w:rFonts w:ascii="IPMDOI+TimesNewRoman" w:hAnsi="IPMDOI+TimesNewRoman" w:eastAsia="Arial" w:cs="IPMDOI+TimesNewRoman"/>
      <w:color w:val="auto"/>
      <w:kern w:val="0"/>
      <w:sz w:val="22"/>
      <w:szCs w:val="22"/>
      <w:lang w:val="pt-BR" w:eastAsia="en-US" w:bidi="ar-SA"/>
    </w:rPr>
  </w:style>
  <w:style w:type="paragraph" w:styleId="Contedodetabela">
    <w:name w:val="Conteúdo de tabela"/>
    <w:basedOn w:val="Normal"/>
    <w:qFormat/>
    <w:pPr/>
    <w:rPr/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Liberation Serif" w:hAnsi="Liberation Serif" w:eastAsia="0" w:cs="Lucida Sans"/>
      <w:color w:val="auto"/>
      <w:kern w:val="2"/>
      <w:sz w:val="24"/>
      <w:szCs w:val="22"/>
      <w:lang w:val="pt-BR" w:eastAsia="en-US" w:bidi="hi-IN"/>
    </w:rPr>
  </w:style>
  <w:style w:type="paragraph" w:styleId="Indentado0">
    <w:name w:val="Indentado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suppressAutoHyphens w:val="true"/>
      <w:bidi w:val="0"/>
      <w:spacing w:before="0" w:after="0"/>
      <w:ind w:firstLine="851" w:left="567"/>
      <w:jc w:val="both"/>
    </w:pPr>
    <w:rPr>
      <w:rFonts w:ascii="Arial" w:hAnsi="Arial" w:eastAsia="Arial" w:cs="DejaVu Sans"/>
      <w:color w:val="auto"/>
      <w:kern w:val="0"/>
      <w:sz w:val="22"/>
      <w:szCs w:val="22"/>
      <w:lang w:val="pt-BR" w:eastAsia="en-US" w:bidi="ar-SA"/>
    </w:rPr>
  </w:style>
  <w:style w:type="paragraph" w:styleId="Pa4">
    <w:name w:val="Pa4"/>
    <w:qFormat/>
    <w:pPr>
      <w:widowControl/>
      <w:suppressAutoHyphens w:val="false"/>
      <w:bidi w:val="0"/>
      <w:spacing w:lineRule="atLeast" w:line="181" w:before="0" w:after="0"/>
      <w:jc w:val="left"/>
    </w:pPr>
    <w:rPr>
      <w:rFonts w:ascii="Univers 45 Light" w:hAnsi="Univers 45 Light" w:eastAsia="SimSun" w:cs="DejaVu Sans"/>
      <w:color w:val="auto"/>
      <w:kern w:val="0"/>
      <w:sz w:val="22"/>
      <w:szCs w:val="22"/>
      <w:lang w:val="pt-BR" w:eastAsia="pt-BR" w:bidi="ar-SA"/>
    </w:rPr>
  </w:style>
  <w:style w:type="paragraph" w:styleId="Pa28">
    <w:name w:val="Pa28"/>
    <w:qFormat/>
    <w:pPr>
      <w:widowControl/>
      <w:suppressAutoHyphens w:val="false"/>
      <w:bidi w:val="0"/>
      <w:spacing w:lineRule="atLeast" w:line="181" w:before="0" w:after="0"/>
      <w:jc w:val="left"/>
    </w:pPr>
    <w:rPr>
      <w:rFonts w:ascii="Univers 45 Light" w:hAnsi="Univers 45 Light" w:eastAsia="SimSun" w:cs="DejaVu Sans"/>
      <w:color w:val="auto"/>
      <w:kern w:val="0"/>
      <w:sz w:val="22"/>
      <w:szCs w:val="22"/>
      <w:lang w:val="pt-BR" w:eastAsia="pt-BR" w:bidi="ar-SA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ListBullet5">
    <w:name w:val="List Bullet 5"/>
    <w:basedOn w:val="Normal"/>
    <w:pPr>
      <w:spacing w:before="0" w:after="0"/>
      <w:contextualSpacing/>
    </w:pPr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AnnotationText">
    <w:name w:val="Annotation Text"/>
    <w:basedOn w:val="Normal"/>
    <w:qFormat/>
    <w:pPr/>
    <w:rPr/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DejaVu Sans"/>
      <w:b/>
      <w:bCs/>
      <w:color w:val="auto"/>
      <w:kern w:val="0"/>
      <w:sz w:val="20"/>
      <w:szCs w:val="20"/>
      <w:lang w:val="pt-BR" w:eastAsia="en-US" w:bidi="ar-SA"/>
    </w:rPr>
  </w:style>
  <w:style w:type="paragraph" w:styleId="Nivel01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sz w:val="20"/>
      <w:szCs w:val="20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Cabealhoerodap31">
    <w:name w:val="Cabeçalho e rodapé31"/>
    <w:basedOn w:val="Normal"/>
    <w:qFormat/>
    <w:pPr/>
    <w:rPr/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Application>LibreOffice/24.2.7.2$Windows_X86_64 LibreOffice_project/ee3885777aa7032db5a9b65deec9457448a91162</Application>
  <AppVersion>15.0000</AppVersion>
  <Pages>6</Pages>
  <Words>2773</Words>
  <Characters>15478</Characters>
  <CharactersWithSpaces>18146</CharactersWithSpaces>
  <Paragraphs>154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2026-04-17T12:01:12Z</cp:lastPrinted>
  <dcterms:modified xsi:type="dcterms:W3CDTF">2026-04-17T12:01:20Z</dcterms:modified>
  <cp:revision>165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